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Liberty Broadband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CHARTER COMMUNICATIONS, INC. /MO/</w:t>
              </w:r>
            </w:hyperlink>
            <w:r>
              <w:rPr/>
              <w:t xml:space="preserve"> [ </w:t>
            </w:r>
            <w:r>
              <w:rPr>
                <w:rFonts w:ascii="Times;serif" w:hAnsi="Times;serif"/>
                <w:color w:val="0000FF"/>
                <w:sz w:val="24"/>
                <w:shd w:fill="FFFFFF" w:val="clear"/>
              </w:rPr>
              <w:t>CHTR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08"/>
        <w:gridCol w:w="933"/>
        <w:gridCol w:w="803"/>
        <w:gridCol w:w="619"/>
        <w:gridCol w:w="335"/>
        <w:gridCol w:w="1274"/>
        <w:gridCol w:w="397"/>
        <w:gridCol w:w="567"/>
        <w:gridCol w:w="1081"/>
        <w:gridCol w:w="943"/>
        <w:gridCol w:w="154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5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54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38,583,663</w:t>
            </w:r>
          </w:p>
        </w:tc>
        <w:tc>
          <w:tcPr>
            <w:tcW w:w="3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5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through wholly-owned subsidiaries</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19, 2026, as a result of the Combination (as defined in the Remarks section), the Issuer acquired the Reporting Person (as defined in the Remarks section), with Merger LLC (as defined in the Remarks section) surviving as a wholly owned subsidiary of the Issuer. As a result of the Combination, the Reporting Person no longer beneficially owns any shares of Common Stock and the Reporting Person ceased to be subject to the obligations of Section 16 of the Securities Exchange Act of 1934 with respect to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Pursuant to the Agreement and Plan of Merger, dated as of November 12, 2024 (the "Merger Agreement"), by and among the Reporting Person, the Issuer, Fusion Merger Sub 1, LLC, a Delaware limited liability company and wholly owned subsidiary of the Issuer ("Merger LLC"), and Fusion Merger Sub 2, Inc., a Delaware corporation and wholly owned subsidiary of Merger LLC ("Merger Sub"), on August 19, 2026, Merger Sub merged with and into the Reporting Person (the "Merger"), with the Reporting Person surviving the Merger as a wholly owned subsidiary of Merger LLC, and immediately following the Merger, the Reporting Person (as the surviving corporation in the Merger) merged with and into Merger LLC (the "Upstream Merger," and together with the Merger, the "Combination"), with Merger LLC surviving the Upstream Merger as the surviving company and a wholly owned subsidiary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Fusion Merger Sub 1, LLC, as successor by merger to Liberty Broadband Corporation. By: /s/ Jessica M. Fischer. Name: Jessica M. Fischer, Title: Chief Financial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1983" TargetMode="External"/><Relationship Id="rId5" Type="http://schemas.openxmlformats.org/officeDocument/2006/relationships/hyperlink" Target="http://www.sec.gov/cgi-bin/browse-edgar?action=getcompany&amp;CIK=00010916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822</Words>
  <Characters>4410</Characters>
  <CharactersWithSpaces>5163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