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222250</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146685</wp:posOffset>
            </wp:positionV>
            <wp:extent cx="18522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217170</wp:posOffset>
            </wp:positionV>
            <wp:extent cx="185229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color w:val="FF0000"/>
        </w:rPr>
        <w:t>July 10,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440055</wp:posOffset>
            </wp:positionV>
            <wp:extent cx="1766570" cy="780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6570" cy="780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tbl>
      <w:tblPr>
        <w:tblLayout w:type="fixed"/>
        <w:tblInd w:w="1420" w:type="dxa"/>
        <w:tblCellMar>
          <w:top w:w="0" w:type="dxa"/>
          <w:left w:w="0" w:type="dxa"/>
          <w:bottom w:w="0" w:type="dxa"/>
          <w:right w:w="0" w:type="dxa"/>
        </w:tblCellMar>
      </w:tblPr>
      <w:tr>
        <w:trPr>
          <w:trHeight w:val="375"/>
        </w:trPr>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340" w:type="dxa"/>
            <w:vAlign w:val="bottom"/>
            <w:tcBorders>
              <w:bottom w:val="single" w:sz="8" w:color="0000FF"/>
            </w:tcBorders>
            <w:gridSpan w:val="7"/>
          </w:tcPr>
          <w:p>
            <w:pPr>
              <w:spacing w:after="0"/>
              <w:rPr>
                <w:sz w:val="20"/>
                <w:szCs w:val="20"/>
                <w:color w:val="auto"/>
              </w:rPr>
            </w:pPr>
            <w:r>
              <w:rPr>
                <w:rFonts w:ascii="Arial" w:cs="Arial" w:eastAsia="Arial" w:hAnsi="Arial"/>
                <w:sz w:val="32"/>
                <w:szCs w:val="32"/>
                <w:b w:val="1"/>
                <w:bCs w:val="1"/>
                <w:color w:val="0000FF"/>
                <w:w w:val="94"/>
              </w:rPr>
              <w:t>Charter Communications, Inc.</w:t>
            </w:r>
          </w:p>
        </w:tc>
        <w:tc>
          <w:tcPr>
            <w:tcW w:w="1580" w:type="dxa"/>
            <w:vAlign w:val="bottom"/>
            <w:gridSpan w:val="2"/>
          </w:tcPr>
          <w:p>
            <w:pPr>
              <w:spacing w:after="0"/>
              <w:rPr>
                <w:sz w:val="24"/>
                <w:szCs w:val="24"/>
                <w:color w:val="auto"/>
              </w:rPr>
            </w:pPr>
          </w:p>
        </w:tc>
      </w:tr>
      <w:tr>
        <w:trPr>
          <w:trHeight w:val="241"/>
        </w:trPr>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920" w:type="dxa"/>
            <w:vAlign w:val="bottom"/>
            <w:gridSpan w:val="9"/>
          </w:tcPr>
          <w:p>
            <w:pPr>
              <w:jc w:val="center"/>
              <w:ind w:right="1580"/>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r>
      <w:tr>
        <w:trPr>
          <w:trHeight w:val="421"/>
        </w:trPr>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Delaware</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5"/>
        </w:trPr>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40" w:type="dxa"/>
            <w:vAlign w:val="bottom"/>
            <w:gridSpan w:val="10"/>
          </w:tcPr>
          <w:p>
            <w:pPr>
              <w:jc w:val="center"/>
              <w:ind w:right="860"/>
              <w:spacing w:after="0"/>
              <w:rPr>
                <w:sz w:val="20"/>
                <w:szCs w:val="20"/>
                <w:color w:val="auto"/>
              </w:rPr>
            </w:pPr>
            <w:r>
              <w:rPr>
                <w:rFonts w:ascii="Arial" w:cs="Arial" w:eastAsia="Arial" w:hAnsi="Arial"/>
                <w:sz w:val="18"/>
                <w:szCs w:val="18"/>
                <w:i w:val="1"/>
                <w:iCs w:val="1"/>
                <w:color w:val="auto"/>
                <w:w w:val="91"/>
              </w:rPr>
              <w:t>(State or Other Jurisdiction of Incorporation or Organization)</w:t>
            </w:r>
          </w:p>
        </w:tc>
      </w:tr>
      <w:tr>
        <w:trPr>
          <w:trHeight w:val="677"/>
        </w:trPr>
        <w:tc>
          <w:tcPr>
            <w:tcW w:w="46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87"/>
              </w:rPr>
              <w:t>000-27927</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b w:val="1"/>
                <w:bCs w:val="1"/>
                <w:color w:val="auto"/>
                <w:w w:val="88"/>
              </w:rPr>
              <w:t>43-1857213</w:t>
            </w:r>
          </w:p>
        </w:tc>
        <w:tc>
          <w:tcPr>
            <w:tcW w:w="880" w:type="dxa"/>
            <w:vAlign w:val="bottom"/>
          </w:tcPr>
          <w:p>
            <w:pPr>
              <w:spacing w:after="0"/>
              <w:rPr>
                <w:sz w:val="24"/>
                <w:szCs w:val="24"/>
                <w:color w:val="auto"/>
              </w:rPr>
            </w:pPr>
          </w:p>
        </w:tc>
      </w:tr>
      <w:tr>
        <w:trPr>
          <w:trHeight w:val="289"/>
        </w:trPr>
        <w:tc>
          <w:tcPr>
            <w:tcW w:w="4860" w:type="dxa"/>
            <w:vAlign w:val="bottom"/>
            <w:gridSpan w:val="7"/>
          </w:tcPr>
          <w:p>
            <w:pPr>
              <w:jc w:val="center"/>
              <w:ind w:right="2940"/>
              <w:spacing w:after="0"/>
              <w:rPr>
                <w:sz w:val="20"/>
                <w:szCs w:val="20"/>
                <w:color w:val="auto"/>
              </w:rPr>
            </w:pPr>
            <w:r>
              <w:rPr>
                <w:rFonts w:ascii="Arial" w:cs="Arial" w:eastAsia="Arial" w:hAnsi="Arial"/>
                <w:sz w:val="18"/>
                <w:szCs w:val="18"/>
                <w:i w:val="1"/>
                <w:iCs w:val="1"/>
                <w:color w:val="auto"/>
                <w:w w:val="89"/>
              </w:rPr>
              <w:t>(Commission File Number)</w:t>
            </w:r>
          </w:p>
        </w:tc>
        <w:tc>
          <w:tcPr>
            <w:tcW w:w="3180" w:type="dxa"/>
            <w:vAlign w:val="bottom"/>
            <w:gridSpan w:val="5"/>
          </w:tcPr>
          <w:p>
            <w:pPr>
              <w:jc w:val="center"/>
              <w:ind w:left="262"/>
              <w:spacing w:after="0"/>
              <w:rPr>
                <w:sz w:val="20"/>
                <w:szCs w:val="20"/>
                <w:color w:val="auto"/>
              </w:rPr>
            </w:pPr>
            <w:r>
              <w:rPr>
                <w:rFonts w:ascii="Arial" w:cs="Arial" w:eastAsia="Arial" w:hAnsi="Arial"/>
                <w:sz w:val="18"/>
                <w:szCs w:val="18"/>
                <w:i w:val="1"/>
                <w:iCs w:val="1"/>
                <w:color w:val="auto"/>
                <w:w w:val="90"/>
              </w:rPr>
              <w:t>(I.R.S. Employer Identification Number)</w:t>
            </w:r>
          </w:p>
        </w:tc>
      </w:tr>
      <w:tr>
        <w:trPr>
          <w:trHeight w:val="690"/>
        </w:trPr>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0" w:type="dxa"/>
            <w:vAlign w:val="bottom"/>
            <w:gridSpan w:val="8"/>
          </w:tcPr>
          <w:p>
            <w:pPr>
              <w:jc w:val="center"/>
              <w:ind w:right="2540"/>
              <w:spacing w:after="0"/>
              <w:rPr>
                <w:sz w:val="20"/>
                <w:szCs w:val="20"/>
                <w:color w:val="auto"/>
              </w:rPr>
            </w:pPr>
            <w:r>
              <w:rPr>
                <w:rFonts w:ascii="Arial" w:cs="Arial" w:eastAsia="Arial" w:hAnsi="Arial"/>
                <w:sz w:val="22"/>
                <w:szCs w:val="22"/>
                <w:b w:val="1"/>
                <w:bCs w:val="1"/>
                <w:color w:val="auto"/>
                <w:w w:val="89"/>
              </w:rPr>
              <w:t>12405 Powerscourt Drive</w:t>
            </w:r>
          </w:p>
        </w:tc>
      </w:tr>
      <w:tr>
        <w:trPr>
          <w:trHeight w:val="230"/>
        </w:trPr>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20" w:type="dxa"/>
            <w:vAlign w:val="bottom"/>
            <w:tcBorders>
              <w:bottom w:val="single" w:sz="8" w:color="auto"/>
            </w:tcBorders>
            <w:gridSpan w:val="3"/>
          </w:tcPr>
          <w:p>
            <w:pPr>
              <w:spacing w:after="0" w:line="230" w:lineRule="exact"/>
              <w:rPr>
                <w:sz w:val="20"/>
                <w:szCs w:val="20"/>
                <w:color w:val="auto"/>
              </w:rPr>
            </w:pPr>
            <w:r>
              <w:rPr>
                <w:rFonts w:ascii="Arial" w:cs="Arial" w:eastAsia="Arial" w:hAnsi="Arial"/>
                <w:sz w:val="22"/>
                <w:szCs w:val="22"/>
                <w:b w:val="1"/>
                <w:bCs w:val="1"/>
                <w:color w:val="auto"/>
                <w:w w:val="91"/>
              </w:rPr>
              <w:t>St. Louis, Missouri</w:t>
            </w:r>
          </w:p>
        </w:tc>
        <w:tc>
          <w:tcPr>
            <w:tcW w:w="68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22"/>
                <w:szCs w:val="22"/>
                <w:b w:val="1"/>
                <w:bCs w:val="1"/>
                <w:color w:val="auto"/>
                <w:w w:val="98"/>
              </w:rPr>
              <w:t>63131</w:t>
            </w: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6"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u w:val="single" w:color="auto"/>
          <w:color w:val="auto"/>
        </w:rPr>
        <w:t>(314) 965-0555</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5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u w:val="single" w:color="auto"/>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178435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5. OTHER ITEMS.</w:t>
      </w:r>
    </w:p>
    <w:p>
      <w:pPr>
        <w:spacing w:after="0" w:line="191"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As part of our acquisition of the cable television systems owned by Bresnan Communications Company Limited Partnership in February 2000, CC VIII, LLC, our indirect limited liability company subsidiary, issued Class A Preferred Membership Interests (collectively, the "CC VIII Interest") with a value and an initial capital account of approximately $630 million to certain sellers affiliated with AT&amp;T Broadband, now owned by Comcast Corporation (the "Comcast Sellers"). While held by the Comcast Sellers, the CC VIII Interest was entitled to a 2% priority return on its initial capital amount and such priority return was entitled to preferential distributions from available cash and upon liquidation of CC VIII. While held by the Comcast Sellers, the CC VIII Interest generally did not share in the profits and losses of CC VIII. Paul G. Allen granted the Comcast Sellers the right to sell to him the CC VIII Interest for approximately $630 million plus 4.5% interest annually from February 2000 (the "Comcast Put Right"). In April 2002, the Comcast Sellers exercised the Comcast Put Right in full, and this transaction was consummated on June 6, 2003. Accordingly, Mr. Allen has become the holder of the CC VIII Interest. Consequently, subject to the matters referenced in the next paragraph, Mr. Allen generally thereafter will be allocated his pro rata share (based on the number of membership interests outstanding) of profits or losses of CC VIII. In the event of a liquidation of CC VIII, Mr. Allen will not be entitled to any priority distributions (except with respect to the 2% priority return, as to which such priority will continue), and Mr. Allen's share of any remaining distributions in liquidation will be equal to the initial capital account of the Comcast Sellers of approximately $630 million, increased or decreased by Mr. Allen's pro rata share of CC VIII's profits and losses (as computed for capital account purposes) after June 6, 2003.</w:t>
      </w:r>
    </w:p>
    <w:p>
      <w:pPr>
        <w:spacing w:after="0" w:line="134" w:lineRule="exact"/>
        <w:rPr>
          <w:sz w:val="24"/>
          <w:szCs w:val="24"/>
          <w:color w:val="auto"/>
        </w:rPr>
      </w:pPr>
    </w:p>
    <w:p>
      <w:pPr>
        <w:ind w:right="40"/>
        <w:spacing w:after="0" w:line="310" w:lineRule="auto"/>
        <w:rPr>
          <w:sz w:val="20"/>
          <w:szCs w:val="20"/>
          <w:color w:val="auto"/>
        </w:rPr>
      </w:pPr>
      <w:r>
        <w:rPr>
          <w:rFonts w:ascii="Arial" w:cs="Arial" w:eastAsia="Arial" w:hAnsi="Arial"/>
          <w:sz w:val="15"/>
          <w:szCs w:val="15"/>
          <w:color w:val="auto"/>
        </w:rPr>
        <w:t>An issue has arisen as to whether the documentation for the Bresnan transaction was correct and complete with regard to the ultimate ownership of the CC VIII Interest following consummation of the Comcast Put Right. Our Board of Directors formed a Special Committee comprised of Messrs. Tory, Wangberg and Nelson to investigate and take any other appropriate action on our behalf with respect to this matter. After conducting an investigation of the facts and circumstances relating to this matter, the Special Committee has reached a preliminary determination that, due to a mistake that occurred in preparing the Bresnan transaction documents, we should seek the reformation of certain contractual provisions in such documents and has notified Mr. Allen of this conclusion. The Special Committee also has preliminarily determined that, as part of such contract reformation, Mr. Allen should be required to contribute the CC VIII Interest to Charter Communications Holding Company, LLC in exchange for Charter Communications Holding Company, LLC membership units. The Special Committee also has recommended to the Board of Directors that, to the extent the contract reformation is achieved, the Board should consider whether the CC VII Interest</w:t>
      </w:r>
    </w:p>
    <w:p>
      <w:pPr>
        <w:sectPr>
          <w:pgSz w:w="11900" w:h="16916" w:orient="portrait"/>
          <w:cols w:equalWidth="0" w:num="1">
            <w:col w:w="11420"/>
          </w:cols>
          <w:pgMar w:left="240" w:top="611" w:right="239" w:bottom="0" w:gutter="0" w:footer="0" w:header="0"/>
        </w:sectPr>
      </w:pPr>
    </w:p>
    <w:bookmarkStart w:id="1" w:name="page2"/>
    <w:bookmarkEnd w:id="1"/>
    <w:p>
      <w:pPr>
        <w:ind w:right="100"/>
        <w:spacing w:after="0" w:line="256" w:lineRule="auto"/>
        <w:rPr>
          <w:sz w:val="20"/>
          <w:szCs w:val="20"/>
          <w:color w:val="auto"/>
        </w:rPr>
      </w:pPr>
      <w:r>
        <w:rPr>
          <w:rFonts w:ascii="Arial" w:cs="Arial" w:eastAsia="Arial" w:hAnsi="Arial"/>
          <w:sz w:val="18"/>
          <w:szCs w:val="18"/>
          <w:color w:val="auto"/>
        </w:rPr>
        <w:t>should ultimately be held by Charter Communications Holding Company, LLC or Charter Communications Holdings, LLC or another entity owned directly or indirectly by them. The Company understands that Mr. Allen disagrees with the Special Committee's preliminary determinations. Accordingly, the Special Committee and Mr. Allen expect to enter into non-binding mediation to seek to resolve this matter as soon as practicable, but without any prejudice to any rights of the parties if such dispute is not resolved as part of the mediation.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563880</wp:posOffset>
            </wp:positionV>
            <wp:extent cx="620839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Charter Communications, Inc. has duly caused this Current Report to be signed on its behalf by the undersigned hereunto duly authorized.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CHARTER COMMUNICATIONS,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Dated: July 11, 2003</w:t>
      </w:r>
    </w:p>
    <w:p>
      <w:pPr>
        <w:spacing w:after="0" w:line="18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/s/ Steven A. Schumm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-13970</wp:posOffset>
            </wp:positionV>
            <wp:extent cx="1024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4890" cy="8890"/>
                    </a:xfrm>
                    <a:prstGeom prst="rect">
                      <a:avLst/>
                    </a:prstGeom>
                    <a:noFill/>
                  </pic:spPr>
                </pic:pic>
              </a:graphicData>
            </a:graphic>
          </wp:anchor>
        </w:drawing>
      </w:r>
    </w:p>
    <w:p>
      <w:pPr>
        <w:ind w:left="4360"/>
        <w:spacing w:after="0"/>
        <w:rPr>
          <w:sz w:val="20"/>
          <w:szCs w:val="20"/>
          <w:color w:val="auto"/>
        </w:rPr>
      </w:pPr>
      <w:r>
        <w:rPr>
          <w:rFonts w:ascii="Arial" w:cs="Arial" w:eastAsia="Arial" w:hAnsi="Arial"/>
          <w:sz w:val="18"/>
          <w:szCs w:val="18"/>
          <w:color w:val="auto"/>
        </w:rPr>
        <w:t>Name: Steven A. Schumm</w:t>
      </w:r>
    </w:p>
    <w:p>
      <w:pPr>
        <w:spacing w:after="0" w:line="9" w:lineRule="exact"/>
        <w:rPr>
          <w:sz w:val="20"/>
          <w:szCs w:val="20"/>
          <w:color w:val="auto"/>
        </w:rPr>
      </w:pPr>
    </w:p>
    <w:p>
      <w:pPr>
        <w:ind w:left="4360"/>
        <w:spacing w:after="0" w:line="261" w:lineRule="auto"/>
        <w:rPr>
          <w:sz w:val="20"/>
          <w:szCs w:val="20"/>
          <w:color w:val="auto"/>
        </w:rPr>
      </w:pPr>
      <w:r>
        <w:rPr>
          <w:rFonts w:ascii="Arial" w:cs="Arial" w:eastAsia="Arial" w:hAnsi="Arial"/>
          <w:sz w:val="18"/>
          <w:szCs w:val="18"/>
          <w:i w:val="1"/>
          <w:iCs w:val="1"/>
          <w:color w:val="auto"/>
        </w:rPr>
        <w:t>Title: Executive Vice President and Chief Administrative Officer and interim 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560070</wp:posOffset>
            </wp:positionV>
            <wp:extent cx="620839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2019-12-15T00:09:13Z</dcterms:created>
  <dcterms:modified xsi:type="dcterms:W3CDTF">2019-12-15T00:09:13Z</dcterms:modified>
</cp:coreProperties>
</file>