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223653.xml.htm"/>
      <w:bookmarkStart w:id="1" w:name="kswkform4_17792236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Haughton Jamal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CHARTER COMMUNICATIONS, INC. /MO/</w:t>
              </w:r>
            </w:hyperlink>
            <w:r>
              <w:rPr/>
              <w:t xml:space="preserve"> [ </w:t>
            </w:r>
            <w:r>
              <w:rPr>
                <w:rFonts w:ascii="Times;serif" w:hAnsi="Times;serif"/>
                <w:color w:val="0000FF"/>
                <w:sz w:val="24"/>
                <w:shd w:fill="FFFFFF" w:val="clear"/>
              </w:rPr>
              <w:t>CHTR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EVP/Gen Counsel/Corp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142.69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8,972</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8,972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1,150</w:t>
            </w:r>
            <w:r>
              <w:rPr>
                <w:rFonts w:ascii="Times;serif" w:hAnsi="Times;serif"/>
                <w:color w:val="008000"/>
                <w:position w:val="7"/>
                <w:sz w:val="16"/>
                <w:sz w:val="20"/>
                <w:shd w:fill="FFFFFF" w:val="clear"/>
              </w:rPr>
              <w:t>(3)</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Options granted on May 15, 2026, under the Charter Communications, Inc. 2019 Stock Incentive Plan; 100% of the grant will vest on the third anniversary date of the grant date, May 15, 2029. Such options will terminate 10 years from the date of the grant unless terminated sooner in accordance with the plan or grant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 grant - price and expiration date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granted on May 15, 2026, under the Charter Communications, Inc. 2019 Stock Incentive Plan; 100% of the grant will vest on the third anniversary of the grant date, May 15,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/s/Jennifer A. Smith as attorney-in-fact for Jamal H. Haughton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8203" TargetMode="External"/><Relationship Id="rId5" Type="http://schemas.openxmlformats.org/officeDocument/2006/relationships/hyperlink" Target="http://www.sec.gov/cgi-bin/browse-edgar?action=getcompany&amp;CIK=00010916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3740</Characters>
  <CharactersWithSpaces>4361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