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6698.xml.htm"/>
      <w:bookmarkStart w:id="1" w:name="kswkform4_17884666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Jeffery Nick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147.66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347,078</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347,078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347,078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147.66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76,466</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13,333</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granted on September 1, 2026, under the Charter Communications, Inc. 2019 Stock Incentive Plan; 25% of the grant will vest on the second anniversary of the grant date, September 1, 2028; 50% of the grant will vest on the third anniversary of the grant date, September 1, 2029; and 25% of the grant will vest on the fourth anniversary of the grant date, September 1, 2030. Such options will terminate 10 years from the grant date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Stock Options granted on September 1, 2026, under the Charter Communications, Inc. 2019 Stock Incentive Plan; 100% of the grant will vest on the third anniversary of the grant date, September 1, 2029. Such options will terminate 10 years from the grant date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grant - price and expiration date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granted on September 1, 2026, under the Charter Communications, Inc. 2019 Stock Incentive Plan; 100% of the grant will vest on the third anniversary of the grant date, September 1,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A. Smith as attorney-in-fact for Nick Jeffery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9463"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4279</Characters>
  <CharactersWithSpaces>4980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