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August 28,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color w:val="000000"/>
          <w:shd w:fill="FFFFFF" w:val="clear"/>
        </w:rPr>
      </w:pPr>
      <w:r>
        <w:rPr>
          <w:color w:val="000000"/>
          <w:shd w:fill="FFFFFF" w:val="clear"/>
        </w:rPr>
        <w:drawing>
          <wp:inline distT="0" distB="0" distL="0" distR="0">
            <wp:extent cx="185737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628650"/>
                    </a:xfrm>
                    <a:prstGeom prst="rect">
                      <a:avLst/>
                    </a:prstGeom>
                  </pic:spPr>
                </pic:pic>
              </a:graphicData>
            </a:graphic>
          </wp:inline>
        </w:drawing>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Charter Communications, Inc.</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CCO Holdings, LLC</w:t>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CCO Holdings Capital Corp.</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Delaware</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(State or other jurisdiction of incorporation or organization)</w:t>
      </w:r>
    </w:p>
    <w:p>
      <w:pPr>
        <w:pStyle w:val="TextBody"/>
        <w:bidi w:val="0"/>
        <w:spacing w:before="0" w:after="0"/>
        <w:jc w:val="left"/>
        <w:rPr>
          <w:rFonts w:ascii="Times New Roman" w:hAnsi="Times New Roman"/>
          <w:sz w:val="20"/>
        </w:rPr>
      </w:pPr>
      <w:r>
        <w:rPr>
          <w:rFonts w:ascii="Times New Roman" w:hAnsi="Times New Roman"/>
          <w:sz w:val="20"/>
        </w:rPr>
      </w:r>
    </w:p>
    <w:tbl>
      <w:tblPr>
        <w:tblW w:w="5500" w:type="dxa"/>
        <w:jc w:val="left"/>
        <w:tblInd w:w="0" w:type="dxa"/>
        <w:tblLayout w:type="fixed"/>
        <w:tblCellMar>
          <w:top w:w="0" w:type="dxa"/>
          <w:left w:w="0" w:type="dxa"/>
          <w:bottom w:w="0" w:type="dxa"/>
          <w:right w:w="0" w:type="dxa"/>
        </w:tblCellMar>
      </w:tblPr>
      <w:tblGrid>
        <w:gridCol w:w="2195"/>
        <w:gridCol w:w="60"/>
        <w:gridCol w:w="3245"/>
      </w:tblGrid>
      <w:tr>
        <w:trPr/>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001-33664</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84-1496755</w:t>
            </w:r>
          </w:p>
        </w:tc>
      </w:tr>
      <w:tr>
        <w:trPr/>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001-37789</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86-1067239</w:t>
            </w:r>
          </w:p>
        </w:tc>
      </w:tr>
      <w:tr>
        <w:trPr/>
        <w:tc>
          <w:tcPr>
            <w:tcW w:w="219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333-112593-01</w:t>
            </w:r>
          </w:p>
        </w:tc>
        <w:tc>
          <w:tcPr>
            <w:tcW w:w="60" w:type="dxa"/>
            <w:tcBorders/>
            <w:vAlign w:val="center"/>
          </w:tcPr>
          <w:p>
            <w:pPr>
              <w:pStyle w:val="TableContents"/>
              <w:bidi w:val="0"/>
              <w:spacing w:before="0" w:after="283"/>
              <w:jc w:val="left"/>
              <w:rPr/>
            </w:pPr>
            <w:r>
              <w:rPr/>
              <w:t> </w:t>
            </w:r>
          </w:p>
        </w:tc>
        <w:tc>
          <w:tcPr>
            <w:tcW w:w="324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20-0257904</w:t>
            </w:r>
          </w:p>
        </w:tc>
      </w:tr>
      <w:tr>
        <w:trPr/>
        <w:tc>
          <w:tcPr>
            <w:tcW w:w="219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Number)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400 Washington Blvd.</w:t>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Stamford, Connecticut 06902</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(Address of principal executive offices, including zip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(203) 905-7801</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(Registrant’s telephone number, including area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Not Applicable</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15" w:type="dxa"/>
        <w:tblLayout w:type="fixed"/>
        <w:tblCellMar>
          <w:top w:w="28" w:type="dxa"/>
          <w:left w:w="28" w:type="dxa"/>
          <w:bottom w:w="28" w:type="dxa"/>
          <w:right w:w="0" w:type="dxa"/>
        </w:tblCellMar>
      </w:tblPr>
      <w:tblGrid>
        <w:gridCol w:w="5228"/>
        <w:gridCol w:w="1504"/>
        <w:gridCol w:w="3473"/>
      </w:tblGrid>
      <w:tr>
        <w:trPr/>
        <w:tc>
          <w:tcPr>
            <w:tcW w:w="5228"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04"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3473"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5228"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Class A Common Stock, $.001 Par Value</w:t>
            </w:r>
          </w:p>
        </w:tc>
        <w:tc>
          <w:tcPr>
            <w:tcW w:w="1504"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CHTR</w:t>
            </w:r>
          </w:p>
        </w:tc>
        <w:tc>
          <w:tcPr>
            <w:tcW w:w="3473"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 Global Select Market</w:t>
            </w:r>
          </w:p>
        </w:tc>
      </w:tr>
      <w:tr>
        <w:trPr/>
        <w:tc>
          <w:tcPr>
            <w:tcW w:w="5228"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 w:hAnsi="Times New Roman"/>
                <w:sz w:val="20"/>
              </w:rPr>
            </w:pPr>
            <w:r>
              <w:rPr>
                <w:rFonts w:ascii="Times New Roman" w:hAnsi="Times New Roman"/>
                <w:sz w:val="20"/>
              </w:rPr>
              <w:t>Series A Cumulative Redeemable Preferred Stock, $.001 Par Value</w:t>
            </w:r>
          </w:p>
        </w:tc>
        <w:tc>
          <w:tcPr>
            <w:tcW w:w="1504"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CHTRP</w:t>
            </w:r>
          </w:p>
        </w:tc>
        <w:tc>
          <w:tcPr>
            <w:tcW w:w="3473"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83"/>
        <w:gridCol w:w="9422"/>
      </w:tblGrid>
      <w:tr>
        <w:trPr/>
        <w:tc>
          <w:tcPr>
            <w:tcW w:w="783"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22"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Departure of Chief Financial Officer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August 28, 2026, Jessica M. Fischer, the current Chief Financial Officer of Charter Communications, Inc. (the “Company”), notified the Company that she has resigned as Chief Financial Officer of the Company to pursue another opportunity.  Ms. Fischer is expected to continue to serve as the Company’s Chief Financial Officer through October 15, 2026 (the “Effective Date”) and, prior to the Effective Date, will assist with the transition of her responsibilities through the closing process for the Company’s quarterly period ending September 30, 2026.  Ms. Fischer’s decision to resign was not the result of any disagreement with the Company, the Company’s management or any member of the Company’s Board of Directors (the “Board”), or on any matter relating to the Company’s operations, policies, practices, or financial reporting.  The Company has not changed any of its previously provided financial outlook or financial policy. The Company has begun a search process for its next Chief Financial Officer.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Appointment of Interim Chief Financial Officer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August 30, 2026, the Board appointed Kevin D. Howard as the Company’s Interim Chief Financial Officer and as both principal financial officer and principal accounting officer of the Company for purposes of the Securities Exchange Act of 1934, as amended (the “Exchange Act”), effective as of the Effective Date and until a successor may be appointed.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Mr. Howard, 57, serves as Executive Vice President, Chief Accounting Officer and Controller at Charter.  He joined Charter in 2002 as Director of Financial Reporting and was promoted to Chief Accounting Officer and Controller in 2006.  He also served as Interim Chief Financial Officer from August 1, 2010, through October 31, 2010.  Mr. Howard joined Charter from Arthur Andersen LLP, where he served as an auditor in the audit division for nearly a decade.  He is a certified public accountant and a certified managerial accountant.  He received a B.S. in finance and economics from the University of Missouri-Columbia.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There are no arrangements or understandings between Mr. Howard and any other persons pursuant to which Mr. Howard was appointed as Interim Chief Financial Officer of the Company.</w:t>
      </w:r>
    </w:p>
    <w:p>
      <w:pPr>
        <w:pStyle w:val="TextBody"/>
        <w:bidi w:val="0"/>
        <w:spacing w:before="0" w:after="0"/>
        <w:jc w:val="left"/>
        <w:rPr>
          <w:rFonts w:ascii="Times New Roman" w:hAnsi="Times New Roman"/>
          <w:sz w:val="20"/>
        </w:rPr>
      </w:pPr>
      <w:r>
        <w:rPr>
          <w:rFonts w:ascii="Times New Roman" w:hAnsi="Times New Roman"/>
          <w:sz w:val="20"/>
        </w:rPr>
      </w:r>
    </w:p>
    <w:tbl>
      <w:tblPr>
        <w:tblW w:w="4000" w:type="dxa"/>
        <w:jc w:val="left"/>
        <w:tblInd w:w="0" w:type="dxa"/>
        <w:tblLayout w:type="fixed"/>
        <w:tblCellMar>
          <w:top w:w="0" w:type="dxa"/>
          <w:left w:w="0" w:type="dxa"/>
          <w:bottom w:w="0" w:type="dxa"/>
          <w:right w:w="0" w:type="dxa"/>
        </w:tblCellMar>
      </w:tblPr>
      <w:tblGrid>
        <w:gridCol w:w="1010"/>
        <w:gridCol w:w="2990"/>
      </w:tblGrid>
      <w:tr>
        <w:trPr/>
        <w:tc>
          <w:tcPr>
            <w:tcW w:w="10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9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August 31, 2026, Charter issued a press release announcing the resignation of Ms. Fischer and the appointment of Mr. Howard, a copy of which is filed as Exhibit 99.1 and incorporated herein by reference.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provided under Item 7.01 of this Current Report on Form 8-K, including Exhibit 99.1, is being furnished and is not deemed to be “filed” with the Securities and Exchange Commission for the purposes of Section 18 of the Exchange Act, or otherwise subject to the liabilities of that section and is not incorporated by reference into any filing of the Company, CCO Holdings, LLC or CCO Holdings Capital Corp. under the Securities Act of 1933, as amended, or the Exchange Act, whether made before or after the date hereof, except as shall be expressly set forth by specific reference to this Current Report on Form 8-K in such a filing.</w:t>
      </w:r>
    </w:p>
    <w:p>
      <w:pPr>
        <w:pStyle w:val="TextBody"/>
        <w:bidi w:val="0"/>
        <w:spacing w:before="0" w:after="0"/>
        <w:jc w:val="left"/>
        <w:rPr>
          <w:rFonts w:ascii="Times New Roman" w:hAnsi="Times New Roman"/>
          <w:sz w:val="20"/>
        </w:rPr>
      </w:pPr>
      <w:r>
        <w:rPr>
          <w:rFonts w:ascii="Times New Roman" w:hAnsi="Times New Roman"/>
          <w:sz w:val="20"/>
        </w:rPr>
      </w:r>
    </w:p>
    <w:tbl>
      <w:tblPr>
        <w:tblW w:w="4990" w:type="dxa"/>
        <w:jc w:val="left"/>
        <w:tblInd w:w="0" w:type="dxa"/>
        <w:tblLayout w:type="fixed"/>
        <w:tblCellMar>
          <w:top w:w="0" w:type="dxa"/>
          <w:left w:w="0" w:type="dxa"/>
          <w:bottom w:w="0" w:type="dxa"/>
          <w:right w:w="0" w:type="dxa"/>
        </w:tblCellMar>
      </w:tblPr>
      <w:tblGrid>
        <w:gridCol w:w="1010"/>
        <w:gridCol w:w="3980"/>
      </w:tblGrid>
      <w:tr>
        <w:trPr/>
        <w:tc>
          <w:tcPr>
            <w:tcW w:w="101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98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 Exhibits</w:t>
      </w:r>
    </w:p>
    <w:p>
      <w:pPr>
        <w:pStyle w:val="TextBody"/>
        <w:bidi w:val="0"/>
        <w:spacing w:before="0" w:after="0"/>
        <w:jc w:val="left"/>
        <w:rPr>
          <w:rFonts w:ascii="Times New Roman" w:hAnsi="Times New Roman"/>
          <w:sz w:val="20"/>
        </w:rPr>
      </w:pPr>
      <w:r>
        <w:rPr>
          <w:rFonts w:ascii="Times New Roman" w:hAnsi="Times New Roman"/>
          <w:sz w:val="20"/>
        </w:rPr>
      </w:r>
    </w:p>
    <w:tbl>
      <w:tblPr>
        <w:tblW w:w="7285" w:type="dxa"/>
        <w:jc w:val="left"/>
        <w:tblInd w:w="0" w:type="dxa"/>
        <w:tblLayout w:type="fixed"/>
        <w:tblCellMar>
          <w:top w:w="0" w:type="dxa"/>
          <w:left w:w="0" w:type="dxa"/>
          <w:bottom w:w="28" w:type="dxa"/>
          <w:right w:w="0" w:type="dxa"/>
        </w:tblCellMar>
      </w:tblPr>
      <w:tblGrid>
        <w:gridCol w:w="650"/>
        <w:gridCol w:w="60"/>
        <w:gridCol w:w="6575"/>
      </w:tblGrid>
      <w:tr>
        <w:trPr/>
        <w:tc>
          <w:tcPr>
            <w:tcW w:w="650"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w:t>
            </w:r>
          </w:p>
        </w:tc>
        <w:tc>
          <w:tcPr>
            <w:tcW w:w="60" w:type="dxa"/>
            <w:tcBorders/>
            <w:tcMar>
              <w:bottom w:w="0" w:type="dxa"/>
            </w:tcMar>
            <w:vAlign w:val="center"/>
          </w:tcPr>
          <w:p>
            <w:pPr>
              <w:pStyle w:val="TableContents"/>
              <w:bidi w:val="0"/>
              <w:spacing w:before="0" w:after="283"/>
              <w:jc w:val="left"/>
              <w:rPr/>
            </w:pPr>
            <w:r>
              <w:rPr/>
              <w:t> </w:t>
            </w:r>
          </w:p>
        </w:tc>
        <w:tc>
          <w:tcPr>
            <w:tcW w:w="657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w:t>
            </w:r>
          </w:p>
        </w:tc>
      </w:tr>
      <w:tr>
        <w:trPr/>
        <w:tc>
          <w:tcPr>
            <w:tcW w:w="6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jc w:val="left"/>
              <w:rPr/>
            </w:pPr>
            <w:hyperlink w:anchor="ef20081340_ex99-1.htm">
              <w:r>
                <w:rPr>
                  <w:rStyle w:val="InternetLink"/>
                  <w:rFonts w:ascii="Times New Roman" w:hAnsi="Times New Roman"/>
                  <w:color w:val="000000"/>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Press Release, dated August 31, 2026.</w:t>
            </w:r>
          </w:p>
        </w:tc>
      </w:tr>
      <w:tr>
        <w:trPr/>
        <w:tc>
          <w:tcPr>
            <w:tcW w:w="65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6575"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cover page from this Current Report on Form 8-K, formatted in Inline XBRL.</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each of Charter Communications, Inc., CCO Holdings, LLC and CCO Holdings Capital Corp. has duly caused this Current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7665" w:type="dxa"/>
        <w:jc w:val="left"/>
        <w:tblInd w:w="0" w:type="dxa"/>
        <w:tblLayout w:type="fixed"/>
        <w:tblCellMar>
          <w:top w:w="0" w:type="dxa"/>
          <w:left w:w="0" w:type="dxa"/>
          <w:bottom w:w="0" w:type="dxa"/>
          <w:right w:w="0" w:type="dxa"/>
        </w:tblCellMar>
      </w:tblPr>
      <w:tblGrid>
        <w:gridCol w:w="1850"/>
        <w:gridCol w:w="320"/>
        <w:gridCol w:w="5495"/>
      </w:tblGrid>
      <w:tr>
        <w:trPr/>
        <w:tc>
          <w:tcPr>
            <w:tcW w:w="1850" w:type="dxa"/>
            <w:tcBorders/>
            <w:vAlign w:val="center"/>
          </w:tcPr>
          <w:p>
            <w:pPr>
              <w:pStyle w:val="TableContents"/>
              <w:bidi w:val="0"/>
              <w:spacing w:before="0" w:after="283"/>
              <w:jc w:val="left"/>
              <w:rPr/>
            </w:pPr>
            <w:r>
              <w:rPr/>
              <w:t> </w:t>
            </w:r>
          </w:p>
        </w:tc>
        <w:tc>
          <w:tcPr>
            <w:tcW w:w="581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CHARTER COMMUNICATIONS, INC.</w:t>
            </w:r>
          </w:p>
        </w:tc>
      </w:tr>
      <w:tr>
        <w:trPr/>
        <w:tc>
          <w:tcPr>
            <w:tcW w:w="1850" w:type="dxa"/>
            <w:tcBorders/>
            <w:vAlign w:val="center"/>
          </w:tcPr>
          <w:p>
            <w:pPr>
              <w:pStyle w:val="TableContents"/>
              <w:bidi w:val="0"/>
              <w:spacing w:before="0" w:after="283"/>
              <w:jc w:val="left"/>
              <w:rPr/>
            </w:pPr>
            <w:r>
              <w:rPr/>
              <w:t> </w:t>
            </w:r>
          </w:p>
        </w:tc>
        <w:tc>
          <w:tcPr>
            <w:tcW w:w="581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49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Jamal Haughton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Jamal Haughton</w:t>
            </w:r>
          </w:p>
        </w:tc>
      </w:tr>
      <w:tr>
        <w:trPr/>
        <w:tc>
          <w:tcPr>
            <w:tcW w:w="18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August 31, 2026</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General Counsel and Corporate Secretary</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581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CCO HOLDINGS, LLC</w:t>
            </w:r>
          </w:p>
        </w:tc>
      </w:tr>
      <w:tr>
        <w:trPr/>
        <w:tc>
          <w:tcPr>
            <w:tcW w:w="1850" w:type="dxa"/>
            <w:tcBorders/>
            <w:vAlign w:val="center"/>
          </w:tcPr>
          <w:p>
            <w:pPr>
              <w:pStyle w:val="TableContents"/>
              <w:bidi w:val="0"/>
              <w:spacing w:before="0" w:after="283"/>
              <w:jc w:val="left"/>
              <w:rPr/>
            </w:pPr>
            <w:r>
              <w:rPr/>
              <w:t> </w:t>
            </w:r>
          </w:p>
        </w:tc>
        <w:tc>
          <w:tcPr>
            <w:tcW w:w="581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49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Jamal Haughton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Jamal Haughton</w:t>
            </w:r>
          </w:p>
        </w:tc>
      </w:tr>
      <w:tr>
        <w:trPr/>
        <w:tc>
          <w:tcPr>
            <w:tcW w:w="18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August 31, 2026</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General Counsel and Corporate Secretary</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581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CCO HOLDINGS CAPITAL CORP.</w:t>
            </w:r>
          </w:p>
        </w:tc>
      </w:tr>
      <w:tr>
        <w:trPr/>
        <w:tc>
          <w:tcPr>
            <w:tcW w:w="1850" w:type="dxa"/>
            <w:tcBorders/>
            <w:vAlign w:val="center"/>
          </w:tcPr>
          <w:p>
            <w:pPr>
              <w:pStyle w:val="TableContents"/>
              <w:bidi w:val="0"/>
              <w:spacing w:before="0" w:after="283"/>
              <w:jc w:val="left"/>
              <w:rPr/>
            </w:pPr>
            <w:r>
              <w:rPr/>
              <w:t> </w:t>
            </w:r>
          </w:p>
        </w:tc>
        <w:tc>
          <w:tcPr>
            <w:tcW w:w="581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49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Jamal Haughton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Jamal Haughton</w:t>
            </w:r>
          </w:p>
        </w:tc>
      </w:tr>
      <w:tr>
        <w:trPr/>
        <w:tc>
          <w:tcPr>
            <w:tcW w:w="18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August 31, 2026</w:t>
            </w:r>
          </w:p>
        </w:tc>
        <w:tc>
          <w:tcPr>
            <w:tcW w:w="320" w:type="dxa"/>
            <w:tcBorders/>
            <w:vAlign w:val="center"/>
          </w:tcPr>
          <w:p>
            <w:pPr>
              <w:pStyle w:val="TableContents"/>
              <w:bidi w:val="0"/>
              <w:spacing w:before="0" w:after="283"/>
              <w:jc w:val="left"/>
              <w:rPr/>
            </w:pPr>
            <w:r>
              <w:rPr/>
              <w:t> </w:t>
            </w:r>
          </w:p>
        </w:tc>
        <w:tc>
          <w:tcPr>
            <w:tcW w:w="5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Vice President, General Counsel and Corporate Secretary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0" w:name="ef20081340_ex99-1.htm"/>
      <w:bookmarkStart w:id="1" w:name="ksef20081340_ex991"/>
      <w:bookmarkStart w:id="2" w:name="ef20081340_ex99-1.htm"/>
      <w:bookmarkStart w:id="3" w:name="ksef20081340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CHARTER ANNOUNCES CHIEF FINANCIAL OFFICER TRANSITION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Stamford, CT. – Aug. 31, 2026 – Charter Communications (NASDAQ: CHTR) today announced that Jessica Fischer will step down from her current position as the Company’s Chief Financial Officer on October 15, to relocate for another professional opportunity. The Company will begin a comprehensive search for her replacement immediately.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Charter also named Kevin Howard, currently Executive Vice President and Chief Accounting Officer &amp; Controller, to the position of interim Chief Financial Officer effective October 15. Mr. Howard will continue to work closely with Ms. Fischer to support ongoing financial operations and ensure a seamless leadership transition.</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I first met Jessica more than 15 years ago and actively recruited her to join our team at Charter,” said Chris Winfrey, President &amp; CEO, Charter Communications. “Since joining Charter nearly 10 years ago, and becoming our CFO in 2021, she has been a key part of our executive team. I am very proud of our work together and grateful for her many contributions in making Spectrum the leading broadband and video company in the country.”</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It has been a privilege to be part of Charter’s growth over the past decade,” said Ms. Fischer. “I have learned so much from Chris and this team and am grateful for the opportunity and trust they placed in me to lead Charter’s financial operation.”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Howard brings over two decades of financial leadership to his role as Charter’s Executive Vice President and Chief Accounting Officer &amp; Controller, overseeing accounting, tax, financial reporting, and ERP operations. He has led the financial integration of a number of Charter’s major transactions, including the acquisitions of Bresnan, Time Warner Cable, Bright House Networks and Cox Communications. He previously served as Charter’s interim CFO in 2010.</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1D1D1F"/>
          <w:sz w:val="20"/>
        </w:rPr>
      </w:pPr>
      <w:r>
        <w:rPr>
          <w:rFonts w:ascii="Times New Roman" w:hAnsi="Times New Roman"/>
          <w:color w:val="1D1D1F"/>
          <w:sz w:val="20"/>
        </w:rPr>
        <w:t>Charter has not changed any of its previously provided financial outlook or financial policy.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Charter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Charter Communications, Inc. (NASDAQ: CHTR) is the leading broadband and video company in the nation and the fastest growing mobile provider in its footprint, with services available to more than 70 million homes and small to large businesses across 45 states through its Spectrum brand. Founded in 1993, Charter has evolved from providing cable TV to streaming, and from high-speed Internet to a converged broadband, WiFi and mobile experience. Over the Spectrum Fiber Broadband Network and supported by our 100% U.S.-based employees, the Company offers Seamless Connectivity and Entertainment with Spectrum Internet®, Mobile, TV and Voice products.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More information can be found at corporate.charter.com.</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Cameron Blanchard, </w:t>
      </w:r>
      <w:r>
        <w:rPr>
          <w:rFonts w:ascii="Times New Roman" w:hAnsi="Times New Roman"/>
          <w:color w:val="000000"/>
          <w:sz w:val="20"/>
          <w:u w:val="single"/>
        </w:rPr>
        <w:t>cameron.blanchard@spectrum.com</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Stefan Anninger, </w:t>
      </w:r>
      <w:r>
        <w:rPr>
          <w:rFonts w:ascii="Times New Roman" w:hAnsi="Times New Roman"/>
          <w:color w:val="000000"/>
          <w:sz w:val="20"/>
          <w:u w:val="single"/>
        </w:rPr>
        <w:t>stefan.annigner@charter.com</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1412</Words>
  <Characters>7869</Characters>
  <CharactersWithSpaces>9235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