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2578.xml.htm"/>
      <w:bookmarkStart w:id="1" w:name="kswkform4_17876025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Winfrey Christopher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CHARTER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CHARTER COMMUNICATIONS, INC. /MO/</w:t>
              </w:r>
            </w:hyperlink>
            <w:r>
              <w:rPr/>
              <w:t xml:space="preserve"> [ </w:t>
            </w:r>
            <w:r>
              <w:rPr>
                <w:rFonts w:ascii="Times;serif" w:hAnsi="Times;serif"/>
                <w:color w:val="0000FF"/>
                <w:sz w:val="24"/>
                <w:shd w:fill="FFFFFF" w:val="clear"/>
              </w:rPr>
              <w:t>CHTR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7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891"/>
        <w:gridCol w:w="921"/>
        <w:gridCol w:w="801"/>
        <w:gridCol w:w="936"/>
        <w:gridCol w:w="831"/>
        <w:gridCol w:w="846"/>
      </w:tblGrid>
      <w:tr>
        <w:trPr>
          <w:tblHeader w:val="true"/>
        </w:trPr>
        <w:tc>
          <w:tcPr>
            <w:tcW w:w="124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149.395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297,281</w:t>
            </w:r>
            <w:r>
              <w:rPr>
                <w:rFonts w:ascii="Times;serif" w:hAnsi="Times;serif"/>
                <w:color w:val="008000"/>
                <w:position w:val="7"/>
                <w:sz w:val="16"/>
                <w:sz w:val="20"/>
                <w:shd w:fill="FFFFFF" w:val="clear"/>
              </w:rPr>
              <w:t>(1)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297,281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297,281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115,466</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115,466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115,466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options granted on August 20, 2026 under the Charter Communications, Inc. 2019 Stock Incentive Plan in connection with the closing of the previously announced transactions contemplated by the Transaction Agreement by and among Charter Communications, Inc., Charter Communications Holdings, LLC and Cox Enterprises, Inc. (the "Cox Transactions"); 100% of the grant will vest on the fourth anniversary of the grant date, August 20, 2030. Such options will terminate 10 years from the grant date unless terminated sooner in accordance with the plan or grant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 grant - price and expiration date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granted on August 20, 2026 under the Charter Communications, Inc. 2019 Stock Incentive Plan in connection with the closing of the Cox Transactions; 50% of the grant will vest on the second anniversary of the grant date, August 20, 2028, and 50% of the grant will vest on the fourth anniversary of the grant date, August 20, 2030.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/s/Jennifer A. Smith as attorney-in-fact for Christopher L. Winfrey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4089" TargetMode="External"/><Relationship Id="rId5" Type="http://schemas.openxmlformats.org/officeDocument/2006/relationships/hyperlink" Target="http://www.sec.gov/cgi-bin/browse-edgar?action=getcompany&amp;CIK=00010916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4128</Characters>
  <CharactersWithSpaces>4799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